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19"/>
        <w:tblW w:w="14567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119"/>
        <w:gridCol w:w="5074"/>
        <w:gridCol w:w="709"/>
        <w:gridCol w:w="1559"/>
      </w:tblGrid>
      <w:tr w:rsidR="00200003" w:rsidRPr="004548D5" w14:paraId="4D824AE0" w14:textId="77777777" w:rsidTr="009F03CF">
        <w:trPr>
          <w:trHeight w:val="1408"/>
        </w:trPr>
        <w:tc>
          <w:tcPr>
            <w:tcW w:w="14567" w:type="dxa"/>
            <w:gridSpan w:val="5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right w:val="single" w:sz="24" w:space="0" w:color="31849B" w:themeColor="accent5" w:themeShade="BF"/>
            </w:tcBorders>
          </w:tcPr>
          <w:p w14:paraId="78E0BA10" w14:textId="0036BFDF" w:rsidR="00175ABC" w:rsidRPr="00811215" w:rsidRDefault="003354E5" w:rsidP="00175ABC">
            <w:pPr>
              <w:jc w:val="left"/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</w:pPr>
            <w:r w:rsidRPr="005274E4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9A2F437" wp14:editId="2E268758">
                  <wp:simplePos x="0" y="0"/>
                  <wp:positionH relativeFrom="margin">
                    <wp:posOffset>8096885</wp:posOffset>
                  </wp:positionH>
                  <wp:positionV relativeFrom="margin">
                    <wp:posOffset>0</wp:posOffset>
                  </wp:positionV>
                  <wp:extent cx="1028700" cy="2870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ressing Dyslexia toolk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003" w:rsidRPr="005274E4">
              <w:rPr>
                <w:rFonts w:asciiTheme="minorHAnsi" w:hAnsiTheme="minorHAnsi" w:cstheme="minorHAnsi"/>
                <w:noProof/>
                <w:sz w:val="28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6B255EE9" wp14:editId="42FEA1A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971550" cy="963295"/>
                  <wp:effectExtent l="0" t="0" r="0" b="8255"/>
                  <wp:wrapSquare wrapText="bothSides"/>
                  <wp:docPr id="363062847" name="Picture 2" descr="A diagram of learning environ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062847" name="Picture 2" descr="A diagram of learning environmen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9BE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Establishment</w:t>
            </w:r>
            <w:r w:rsidR="00200003" w:rsidRPr="005274E4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 Reading Planning</w:t>
            </w:r>
            <w:r w:rsidR="007C69BE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 </w:t>
            </w:r>
            <w:r w:rsidR="00200003" w:rsidRPr="005274E4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Tool </w:t>
            </w:r>
            <w:r w:rsidR="00200003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 - Access the full Reading Circle</w:t>
            </w:r>
            <w:r w:rsidR="00200003" w:rsidRPr="005274E4">
              <w:rPr>
                <w:rFonts w:asciiTheme="minorHAnsi" w:hAnsiTheme="minorHAnsi" w:cstheme="minorHAnsi"/>
                <w:color w:val="0000FF"/>
                <w:szCs w:val="24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 xml:space="preserve"> </w:t>
            </w:r>
            <w:hyperlink r:id="rId9" w:history="1">
              <w:r w:rsidR="00200003" w:rsidRPr="00023ACF">
                <w:rPr>
                  <w:rStyle w:val="Hyperlink"/>
                  <w:rFonts w:asciiTheme="minorHAnsi" w:hAnsiTheme="minorHAnsi" w:cstheme="minorHAnsi"/>
                  <w:color w:val="0000FF"/>
                  <w:sz w:val="28"/>
                  <w:szCs w:val="28"/>
                </w:rPr>
                <w:t>here</w:t>
              </w:r>
            </w:hyperlink>
            <w:r w:rsidR="00200003" w:rsidRPr="00023ACF"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  <w:t xml:space="preserve"> </w:t>
            </w:r>
            <w:r w:rsidR="00200003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on the Addressing Dyslexia Toolkit. This </w:t>
            </w:r>
            <w:r w:rsidR="0023452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reflective </w:t>
            </w:r>
            <w:r w:rsidR="00200003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tool provides opportunities </w:t>
            </w:r>
            <w:r w:rsidR="009E1479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to </w:t>
            </w:r>
            <w:r w:rsidR="0036695D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support effective </w:t>
            </w:r>
            <w:r w:rsidR="0036695D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planning when considering the needs of learners who may be experiencing literacy difficulties. </w:t>
            </w:r>
            <w:r w:rsidR="00811215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>Designed to be flexible</w:t>
            </w:r>
            <w:r w:rsidR="00C156C5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>,</w:t>
            </w:r>
            <w:r w:rsidR="00811215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 this tool can </w:t>
            </w:r>
            <w:r w:rsidR="0025563B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be used to </w:t>
            </w:r>
            <w:r w:rsidR="00811215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>discuss and evaluate supports, approaches and evidenced based programmes</w:t>
            </w:r>
            <w:r w:rsidR="0025563B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, </w:t>
            </w:r>
            <w:r w:rsidR="00200003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to </w:t>
            </w:r>
            <w:r w:rsidR="000549F5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>identify</w:t>
            </w:r>
            <w:r w:rsidR="00C156C5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 </w:t>
            </w:r>
            <w:r w:rsidR="00E450F2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>what is working well</w:t>
            </w:r>
            <w:r w:rsidR="005B57A5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 and why</w:t>
            </w:r>
            <w:r w:rsidR="00E450F2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>, what needs to improve</w:t>
            </w:r>
            <w:r w:rsidR="00077280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, </w:t>
            </w:r>
            <w:r w:rsidR="00175ABC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>next steps</w:t>
            </w:r>
            <w:r w:rsidR="00077280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 </w:t>
            </w:r>
            <w:r w:rsidR="00077280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and </w:t>
            </w:r>
            <w:r w:rsidR="00077280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areas of </w:t>
            </w:r>
            <w:r w:rsidR="00077280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>required professional learning</w:t>
            </w:r>
            <w:r w:rsidR="00175ABC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. </w:t>
            </w:r>
            <w:r w:rsidR="00200003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The collated information can be used </w:t>
            </w:r>
            <w:r w:rsidR="00175ABC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to support </w:t>
            </w:r>
            <w:r w:rsidR="00C62DCE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evidence based </w:t>
            </w:r>
            <w:r w:rsidR="00175ABC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>improvement planning</w:t>
            </w:r>
            <w:r w:rsidR="0025563B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. </w:t>
            </w:r>
          </w:p>
          <w:p w14:paraId="0497C58C" w14:textId="3DDAC584" w:rsidR="00200003" w:rsidRPr="00BC5197" w:rsidRDefault="00200003" w:rsidP="003354E5">
            <w:pPr>
              <w:jc w:val="left"/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</w:pPr>
          </w:p>
        </w:tc>
      </w:tr>
      <w:tr w:rsidR="0091578A" w:rsidRPr="004548D5" w14:paraId="4DBD52F5" w14:textId="77777777" w:rsidTr="009F03CF">
        <w:trPr>
          <w:trHeight w:val="437"/>
        </w:trPr>
        <w:tc>
          <w:tcPr>
            <w:tcW w:w="4106" w:type="dxa"/>
            <w:tcBorders>
              <w:left w:val="single" w:sz="24" w:space="0" w:color="31849B" w:themeColor="accent5" w:themeShade="BF"/>
            </w:tcBorders>
            <w:shd w:val="clear" w:color="auto" w:fill="31849B" w:themeFill="accent5" w:themeFillShade="BF"/>
          </w:tcPr>
          <w:p w14:paraId="1A7F4400" w14:textId="17DCCD7E" w:rsidR="0091578A" w:rsidRPr="009F03CF" w:rsidRDefault="0091578A" w:rsidP="004548D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F03C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Establishment</w:t>
            </w:r>
            <w:r w:rsidR="001F413D" w:rsidRPr="009F03C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9F03C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faculty</w:t>
            </w:r>
            <w:r w:rsidR="001F413D" w:rsidRPr="009F03C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9F03C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department</w:t>
            </w:r>
            <w:r w:rsidR="001F413D" w:rsidRPr="009F03C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/class</w:t>
            </w:r>
          </w:p>
        </w:tc>
        <w:tc>
          <w:tcPr>
            <w:tcW w:w="8193" w:type="dxa"/>
            <w:gridSpan w:val="2"/>
            <w:tcBorders>
              <w:top w:val="single" w:sz="1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14:paraId="0B2AAF6F" w14:textId="77777777" w:rsidR="0091578A" w:rsidRPr="004548D5" w:rsidRDefault="0091578A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31849B" w:themeFill="accent5" w:themeFillShade="BF"/>
          </w:tcPr>
          <w:p w14:paraId="7F98EF9D" w14:textId="77777777" w:rsidR="0091578A" w:rsidRPr="004548D5" w:rsidRDefault="0091578A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C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</w:t>
            </w: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31849B" w:themeColor="accent5" w:themeShade="BF"/>
              <w:right w:val="single" w:sz="24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14:paraId="292D6661" w14:textId="77777777" w:rsidR="0091578A" w:rsidRPr="004548D5" w:rsidRDefault="0091578A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4DFA" w:rsidRPr="004548D5" w14:paraId="2211AE06" w14:textId="77777777" w:rsidTr="009F03CF">
        <w:trPr>
          <w:trHeight w:val="1246"/>
        </w:trPr>
        <w:tc>
          <w:tcPr>
            <w:tcW w:w="7225" w:type="dxa"/>
            <w:gridSpan w:val="2"/>
            <w:tcBorders>
              <w:top w:val="single" w:sz="12" w:space="0" w:color="31849B" w:themeColor="accent5" w:themeShade="BF"/>
              <w:left w:val="single" w:sz="24" w:space="0" w:color="31849B" w:themeColor="accent5" w:themeShade="BF"/>
            </w:tcBorders>
          </w:tcPr>
          <w:p w14:paraId="1F4E8227" w14:textId="77777777" w:rsidR="005F4DFA" w:rsidRDefault="005B66F1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  <w:t xml:space="preserve">Wellbeing for Reading: </w:t>
            </w:r>
            <w:r w:rsidRPr="00E0646D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  <w:t xml:space="preserve">- </w:t>
            </w:r>
            <w:r w:rsidRPr="00E0646D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="00E0646D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(</w:t>
            </w:r>
            <w:r w:rsidRPr="00E0646D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Vision, Hearing ,Language development, Interrupted learning, EAL/Bilingual/, Reading Experiences</w:t>
            </w:r>
            <w:r w:rsidR="00E0646D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)</w:t>
            </w:r>
            <w:r w:rsidRPr="00E0646D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.</w:t>
            </w:r>
          </w:p>
          <w:p w14:paraId="3C586323" w14:textId="77777777" w:rsidR="00E0646D" w:rsidRDefault="00E0646D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14:paraId="5448B4EA" w14:textId="77777777" w:rsidR="00E0646D" w:rsidRDefault="00E0646D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14:paraId="4127AB87" w14:textId="77777777" w:rsidR="00E0646D" w:rsidRDefault="00E0646D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14:paraId="633C318B" w14:textId="77777777" w:rsidR="00E0646D" w:rsidRDefault="00E0646D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14:paraId="5367D188" w14:textId="79A0E302" w:rsidR="00E0646D" w:rsidRPr="004548D5" w:rsidRDefault="00E0646D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2" w:type="dxa"/>
            <w:gridSpan w:val="3"/>
            <w:tcBorders>
              <w:top w:val="single" w:sz="12" w:space="0" w:color="31849B" w:themeColor="accent5" w:themeShade="BF"/>
              <w:right w:val="single" w:sz="24" w:space="0" w:color="31849B" w:themeColor="accent5" w:themeShade="BF"/>
            </w:tcBorders>
          </w:tcPr>
          <w:p w14:paraId="1A8A5B00" w14:textId="72395A6A" w:rsidR="005B66F1" w:rsidRDefault="005B66F1" w:rsidP="005B66F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 xml:space="preserve">Listening and Talking: </w:t>
            </w:r>
            <w:r w:rsidRPr="00B934AE">
              <w:rPr>
                <w:rFonts w:asciiTheme="minorHAnsi" w:hAnsiTheme="minorHAnsi" w:cs="Calibri"/>
                <w:b/>
                <w:bCs/>
                <w:color w:val="365F91" w:themeColor="accent1" w:themeShade="BF"/>
                <w:szCs w:val="24"/>
                <w:lang w:val="en"/>
              </w:rPr>
              <w:t xml:space="preserve">- </w:t>
            </w:r>
            <w:r w:rsidR="00E0646D"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(</w:t>
            </w:r>
            <w:r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Listening , Talking &amp; Vocabulary</w:t>
            </w:r>
            <w:r w:rsidR="00E0646D"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)</w:t>
            </w:r>
            <w:r w:rsidRPr="00B934AE">
              <w:rPr>
                <w:rFonts w:asciiTheme="minorHAnsi" w:hAnsiTheme="minorHAnsi" w:cs="Calibri"/>
                <w:b/>
                <w:bCs/>
                <w:color w:val="365F91" w:themeColor="accent1" w:themeShade="BF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 xml:space="preserve"> </w:t>
            </w:r>
          </w:p>
          <w:p w14:paraId="746D598F" w14:textId="35A92059" w:rsidR="005F4DFA" w:rsidRPr="00AC5B41" w:rsidRDefault="005F4DFA" w:rsidP="005B66F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</w:p>
        </w:tc>
      </w:tr>
      <w:tr w:rsidR="005B66F1" w:rsidRPr="004548D5" w14:paraId="0576C8CE" w14:textId="77777777" w:rsidTr="009F03CF">
        <w:trPr>
          <w:trHeight w:val="1246"/>
        </w:trPr>
        <w:tc>
          <w:tcPr>
            <w:tcW w:w="7225" w:type="dxa"/>
            <w:gridSpan w:val="2"/>
            <w:tcBorders>
              <w:left w:val="single" w:sz="24" w:space="0" w:color="31849B" w:themeColor="accent5" w:themeShade="BF"/>
            </w:tcBorders>
          </w:tcPr>
          <w:p w14:paraId="41EDE9F6" w14:textId="77777777" w:rsidR="005B66F1" w:rsidRDefault="005B66F1" w:rsidP="005B66F1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 xml:space="preserve">Reading Comprehension </w:t>
            </w:r>
          </w:p>
          <w:p w14:paraId="21B768D2" w14:textId="77777777" w:rsidR="005B66F1" w:rsidRDefault="005B66F1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</w:pPr>
          </w:p>
        </w:tc>
        <w:tc>
          <w:tcPr>
            <w:tcW w:w="7342" w:type="dxa"/>
            <w:gridSpan w:val="3"/>
            <w:vMerge w:val="restart"/>
            <w:tcBorders>
              <w:right w:val="single" w:sz="24" w:space="0" w:color="31849B" w:themeColor="accent5" w:themeShade="BF"/>
            </w:tcBorders>
          </w:tcPr>
          <w:p w14:paraId="143D0F0B" w14:textId="73F67C98" w:rsidR="005B66F1" w:rsidRDefault="005B66F1" w:rsidP="005B66F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 xml:space="preserve">Phonological Awareness: </w:t>
            </w:r>
            <w:r w:rsidR="00E0646D" w:rsidRPr="00E0646D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  <w:lang w:val="en"/>
              </w:rPr>
              <w:t>(</w:t>
            </w:r>
            <w:r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Words, Syllables, Rhyme, Phonemes</w:t>
            </w:r>
            <w:r w:rsidR="00E0646D"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)</w:t>
            </w:r>
            <w:r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.</w:t>
            </w:r>
            <w:r w:rsidRPr="00B934AE">
              <w:rPr>
                <w:rFonts w:asciiTheme="minorHAnsi" w:hAnsiTheme="minorHAnsi" w:cs="Calibri"/>
                <w:b/>
                <w:bCs/>
                <w:color w:val="365F91" w:themeColor="accent1" w:themeShade="BF"/>
                <w:sz w:val="22"/>
                <w:szCs w:val="22"/>
                <w:lang w:val="en"/>
              </w:rPr>
              <w:t xml:space="preserve">  </w:t>
            </w:r>
          </w:p>
        </w:tc>
      </w:tr>
      <w:tr w:rsidR="005B66F1" w:rsidRPr="004548D5" w14:paraId="1A28290B" w14:textId="77777777" w:rsidTr="009F03CF">
        <w:trPr>
          <w:trHeight w:val="895"/>
        </w:trPr>
        <w:tc>
          <w:tcPr>
            <w:tcW w:w="7225" w:type="dxa"/>
            <w:gridSpan w:val="2"/>
            <w:tcBorders>
              <w:left w:val="single" w:sz="24" w:space="0" w:color="31849B" w:themeColor="accent5" w:themeShade="BF"/>
            </w:tcBorders>
          </w:tcPr>
          <w:p w14:paraId="3A331B6B" w14:textId="263FA94B" w:rsidR="005B66F1" w:rsidRDefault="005B66F1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>Sight Words</w:t>
            </w:r>
          </w:p>
          <w:p w14:paraId="3D867DBF" w14:textId="77777777" w:rsidR="005B66F1" w:rsidRDefault="005B66F1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7C5CA3FB" w14:textId="77777777" w:rsidR="005D32EA" w:rsidRDefault="005D32E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44E596DB" w14:textId="77777777" w:rsidR="005D32EA" w:rsidRDefault="005D32E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55AFB96D" w14:textId="77777777" w:rsidR="005D32EA" w:rsidRPr="005F4DFA" w:rsidRDefault="005D32E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342" w:type="dxa"/>
            <w:gridSpan w:val="3"/>
            <w:vMerge/>
            <w:tcBorders>
              <w:right w:val="single" w:sz="24" w:space="0" w:color="31849B" w:themeColor="accent5" w:themeShade="BF"/>
            </w:tcBorders>
          </w:tcPr>
          <w:p w14:paraId="56190D82" w14:textId="2A231851" w:rsidR="005B66F1" w:rsidRPr="00AC5B41" w:rsidRDefault="005B66F1" w:rsidP="006D7441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14:paraId="2F218D10" w14:textId="77777777" w:rsidTr="009F03CF">
        <w:trPr>
          <w:trHeight w:val="1238"/>
        </w:trPr>
        <w:tc>
          <w:tcPr>
            <w:tcW w:w="7225" w:type="dxa"/>
            <w:gridSpan w:val="2"/>
            <w:tcBorders>
              <w:left w:val="single" w:sz="24" w:space="0" w:color="31849B" w:themeColor="accent5" w:themeShade="BF"/>
            </w:tcBorders>
          </w:tcPr>
          <w:p w14:paraId="117D4DE1" w14:textId="5ED3BD86" w:rsidR="005B66F1" w:rsidRPr="000C28FE" w:rsidRDefault="005B66F1" w:rsidP="005B66F1">
            <w:pPr>
              <w:jc w:val="left"/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color w:val="244061" w:themeColor="accent1" w:themeShade="80"/>
              </w:rPr>
              <w:t xml:space="preserve">Working </w:t>
            </w:r>
            <w:r w:rsidR="00153B93">
              <w:rPr>
                <w:rFonts w:ascii="Calibri" w:hAnsi="Calibri" w:cs="Calibri"/>
                <w:b/>
                <w:color w:val="244061" w:themeColor="accent1" w:themeShade="80"/>
              </w:rPr>
              <w:t>M</w:t>
            </w:r>
            <w:r>
              <w:rPr>
                <w:rFonts w:ascii="Calibri" w:hAnsi="Calibri" w:cs="Calibri"/>
                <w:b/>
                <w:color w:val="244061" w:themeColor="accent1" w:themeShade="80"/>
              </w:rPr>
              <w:t>emory</w:t>
            </w:r>
            <w:r w:rsidR="000C28FE">
              <w:rPr>
                <w:rFonts w:ascii="Calibri" w:hAnsi="Calibri" w:cs="Calibri"/>
                <w:b/>
                <w:color w:val="244061" w:themeColor="accent1" w:themeShade="80"/>
              </w:rPr>
              <w:t xml:space="preserve"> and Processing</w:t>
            </w:r>
            <w:r w:rsidR="00153B93">
              <w:rPr>
                <w:rFonts w:ascii="Calibri" w:hAnsi="Calibri" w:cs="Calibri"/>
                <w:b/>
                <w:color w:val="244061" w:themeColor="accent1" w:themeShade="80"/>
              </w:rPr>
              <w:t xml:space="preserve">: - </w:t>
            </w:r>
            <w:r w:rsidR="000C28FE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>(</w:t>
            </w:r>
            <w:r w:rsidR="00153B93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 xml:space="preserve">Auditory processing, </w:t>
            </w:r>
            <w:r w:rsidR="000C28FE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>V</w:t>
            </w:r>
            <w:r w:rsidR="00153B93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 xml:space="preserve">isual </w:t>
            </w:r>
            <w:r w:rsidR="000C28FE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>P</w:t>
            </w:r>
            <w:r w:rsidR="00153B93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 xml:space="preserve">rocessing, </w:t>
            </w:r>
            <w:r w:rsidR="00F34677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>Working memory</w:t>
            </w:r>
            <w:r w:rsidR="000C28FE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>)</w:t>
            </w:r>
            <w:r w:rsidR="00F34677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 xml:space="preserve"> </w:t>
            </w:r>
            <w:r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 xml:space="preserve"> </w:t>
            </w:r>
          </w:p>
          <w:p w14:paraId="25EB2B32" w14:textId="77777777" w:rsidR="005D32EA" w:rsidRDefault="005D32EA" w:rsidP="005B66F1">
            <w:pPr>
              <w:jc w:val="left"/>
              <w:rPr>
                <w:rFonts w:ascii="Calibri" w:hAnsi="Calibri" w:cs="Calibri"/>
                <w:b/>
                <w:color w:val="244061" w:themeColor="accent1" w:themeShade="80"/>
              </w:rPr>
            </w:pPr>
          </w:p>
          <w:p w14:paraId="6E66643C" w14:textId="77777777" w:rsidR="005D32EA" w:rsidRDefault="005D32EA" w:rsidP="005B66F1">
            <w:pPr>
              <w:jc w:val="left"/>
              <w:rPr>
                <w:rFonts w:ascii="Calibri" w:hAnsi="Calibri" w:cs="Calibri"/>
                <w:b/>
                <w:color w:val="244061" w:themeColor="accent1" w:themeShade="80"/>
              </w:rPr>
            </w:pPr>
          </w:p>
          <w:p w14:paraId="509FCF17" w14:textId="77777777" w:rsidR="005D32EA" w:rsidRDefault="005D32EA" w:rsidP="005B66F1">
            <w:pPr>
              <w:jc w:val="left"/>
              <w:rPr>
                <w:rFonts w:ascii="Calibri" w:hAnsi="Calibri" w:cs="Calibri"/>
                <w:b/>
                <w:color w:val="244061" w:themeColor="accent1" w:themeShade="80"/>
              </w:rPr>
            </w:pPr>
          </w:p>
          <w:p w14:paraId="11BB454B" w14:textId="076419D5" w:rsidR="005F4DFA" w:rsidRPr="005F4DFA" w:rsidRDefault="005F4DFA" w:rsidP="005F4DFA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342" w:type="dxa"/>
            <w:gridSpan w:val="3"/>
            <w:tcBorders>
              <w:right w:val="single" w:sz="24" w:space="0" w:color="31849B" w:themeColor="accent5" w:themeShade="BF"/>
            </w:tcBorders>
          </w:tcPr>
          <w:p w14:paraId="4D7F7E6A" w14:textId="49CB5CD7" w:rsidR="005F4DFA" w:rsidRPr="00AC5B41" w:rsidRDefault="005B66F1" w:rsidP="005B66F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Phonics</w:t>
            </w:r>
          </w:p>
        </w:tc>
      </w:tr>
      <w:tr w:rsidR="00741513" w:rsidRPr="004548D5" w14:paraId="3DB85D05" w14:textId="77777777" w:rsidTr="009F03CF">
        <w:tc>
          <w:tcPr>
            <w:tcW w:w="14567" w:type="dxa"/>
            <w:gridSpan w:val="5"/>
            <w:tcBorders>
              <w:left w:val="single" w:sz="24" w:space="0" w:color="31849B" w:themeColor="accent5" w:themeShade="BF"/>
              <w:right w:val="single" w:sz="24" w:space="0" w:color="31849B" w:themeColor="accent5" w:themeShade="BF"/>
            </w:tcBorders>
          </w:tcPr>
          <w:p w14:paraId="352D6F83" w14:textId="77777777" w:rsidR="004548D5" w:rsidRPr="00AC5B41" w:rsidRDefault="00741513" w:rsidP="00AC5B41">
            <w:pPr>
              <w:jc w:val="left"/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Learning Environment</w:t>
            </w:r>
            <w:r w:rsidR="00105556"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:</w:t>
            </w:r>
            <w:r w:rsidR="00105556" w:rsidRPr="00AC5B41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     </w:t>
            </w:r>
          </w:p>
          <w:p w14:paraId="62A61C55" w14:textId="77777777"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9D621" w14:textId="77777777" w:rsidR="004222B1" w:rsidRPr="004548D5" w:rsidRDefault="00105556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</w:tr>
      <w:tr w:rsidR="004548D5" w:rsidRPr="004548D5" w14:paraId="0BEE337D" w14:textId="77777777" w:rsidTr="009F03CF">
        <w:tc>
          <w:tcPr>
            <w:tcW w:w="14567" w:type="dxa"/>
            <w:gridSpan w:val="5"/>
            <w:tcBorders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</w:tcPr>
          <w:p w14:paraId="64D56906" w14:textId="77777777" w:rsidR="004548D5" w:rsidRPr="00AC5B41" w:rsidRDefault="004548D5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Next Steps:</w:t>
            </w:r>
          </w:p>
          <w:p w14:paraId="6A2AEDB5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3A0A1E" w14:textId="53FE1526" w:rsidR="00AC5B41" w:rsidRDefault="00AC5B41" w:rsidP="00E36759"/>
    <w:p w14:paraId="5FD1129C" w14:textId="77777777" w:rsidR="00C40EF4" w:rsidRDefault="00C40EF4" w:rsidP="00E36759"/>
    <w:p w14:paraId="5DD1EAAE" w14:textId="77777777" w:rsidR="00C40EF4" w:rsidRDefault="00C40EF4" w:rsidP="00E36759"/>
    <w:p w14:paraId="7A6386D6" w14:textId="77777777" w:rsidR="00C40EF4" w:rsidRDefault="00C40EF4" w:rsidP="00E36759"/>
    <w:p w14:paraId="25F748CF" w14:textId="77777777" w:rsidR="00C40EF4" w:rsidRDefault="00C40EF4" w:rsidP="00E36759"/>
    <w:p w14:paraId="13F2019C" w14:textId="77777777" w:rsidR="00C40EF4" w:rsidRDefault="00C40EF4" w:rsidP="00E36759"/>
    <w:p w14:paraId="6727567B" w14:textId="77777777" w:rsidR="00C40EF4" w:rsidRDefault="00C40EF4" w:rsidP="00E36759"/>
    <w:p w14:paraId="4ED61A19" w14:textId="77777777" w:rsidR="00C40EF4" w:rsidRDefault="00C40EF4" w:rsidP="00E36759"/>
    <w:p w14:paraId="45220540" w14:textId="77777777" w:rsidR="00C40EF4" w:rsidRDefault="00C40EF4" w:rsidP="00E36759"/>
    <w:p w14:paraId="66C34544" w14:textId="77777777" w:rsidR="00C40EF4" w:rsidRDefault="00C40EF4" w:rsidP="00E36759"/>
    <w:p w14:paraId="3803F2B2" w14:textId="77777777" w:rsidR="00C40EF4" w:rsidRDefault="00C40EF4" w:rsidP="00E36759"/>
    <w:p w14:paraId="47D56589" w14:textId="77777777" w:rsidR="00C40EF4" w:rsidRDefault="00C40EF4" w:rsidP="00E36759"/>
    <w:p w14:paraId="3A5CDE99" w14:textId="77777777" w:rsidR="00C40EF4" w:rsidRDefault="00C40EF4" w:rsidP="00E36759"/>
    <w:p w14:paraId="388728E2" w14:textId="77777777" w:rsidR="00C40EF4" w:rsidRDefault="00C40EF4" w:rsidP="00E36759"/>
    <w:p w14:paraId="6D58ADF4" w14:textId="77777777" w:rsidR="00C40EF4" w:rsidRDefault="00C40EF4" w:rsidP="00E36759"/>
    <w:sectPr w:rsidR="00C40EF4" w:rsidSect="004548D5">
      <w:headerReference w:type="default" r:id="rId10"/>
      <w:footerReference w:type="default" r:id="rId11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3664" w14:textId="77777777" w:rsidR="00987550" w:rsidRDefault="00987550">
      <w:pPr>
        <w:spacing w:line="240" w:lineRule="auto"/>
      </w:pPr>
      <w:r>
        <w:separator/>
      </w:r>
    </w:p>
  </w:endnote>
  <w:endnote w:type="continuationSeparator" w:id="0">
    <w:p w14:paraId="420F9E3E" w14:textId="77777777" w:rsidR="00987550" w:rsidRDefault="00987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6FA1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80D0" w14:textId="77777777" w:rsidR="00987550" w:rsidRDefault="00987550">
      <w:pPr>
        <w:spacing w:line="240" w:lineRule="auto"/>
      </w:pPr>
      <w:r>
        <w:separator/>
      </w:r>
    </w:p>
  </w:footnote>
  <w:footnote w:type="continuationSeparator" w:id="0">
    <w:p w14:paraId="52FA244F" w14:textId="77777777" w:rsidR="00987550" w:rsidRDefault="00987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BC97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E8C400C"/>
    <w:multiLevelType w:val="multilevel"/>
    <w:tmpl w:val="BA7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0976290">
    <w:abstractNumId w:val="2"/>
  </w:num>
  <w:num w:numId="2" w16cid:durableId="350498399">
    <w:abstractNumId w:val="0"/>
  </w:num>
  <w:num w:numId="3" w16cid:durableId="320279314">
    <w:abstractNumId w:val="0"/>
  </w:num>
  <w:num w:numId="4" w16cid:durableId="458037482">
    <w:abstractNumId w:val="0"/>
  </w:num>
  <w:num w:numId="5" w16cid:durableId="200003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1F"/>
    <w:rsid w:val="00023ACF"/>
    <w:rsid w:val="000549F5"/>
    <w:rsid w:val="00077280"/>
    <w:rsid w:val="00080F87"/>
    <w:rsid w:val="00082222"/>
    <w:rsid w:val="00090908"/>
    <w:rsid w:val="000B6AE4"/>
    <w:rsid w:val="000C28FE"/>
    <w:rsid w:val="000D7EAA"/>
    <w:rsid w:val="00100021"/>
    <w:rsid w:val="00105556"/>
    <w:rsid w:val="00124663"/>
    <w:rsid w:val="001267F7"/>
    <w:rsid w:val="00145263"/>
    <w:rsid w:val="00153B93"/>
    <w:rsid w:val="00157346"/>
    <w:rsid w:val="00175ABC"/>
    <w:rsid w:val="00192DC7"/>
    <w:rsid w:val="001F413D"/>
    <w:rsid w:val="00200003"/>
    <w:rsid w:val="00234524"/>
    <w:rsid w:val="0025563B"/>
    <w:rsid w:val="00260D11"/>
    <w:rsid w:val="0026476A"/>
    <w:rsid w:val="002F2903"/>
    <w:rsid w:val="002F3688"/>
    <w:rsid w:val="0030315B"/>
    <w:rsid w:val="00331E84"/>
    <w:rsid w:val="003354E5"/>
    <w:rsid w:val="0035099C"/>
    <w:rsid w:val="00365BDF"/>
    <w:rsid w:val="0036695D"/>
    <w:rsid w:val="003C6733"/>
    <w:rsid w:val="003D44C6"/>
    <w:rsid w:val="003E645A"/>
    <w:rsid w:val="003F2479"/>
    <w:rsid w:val="003F6AC8"/>
    <w:rsid w:val="00411FC4"/>
    <w:rsid w:val="004222B1"/>
    <w:rsid w:val="00444324"/>
    <w:rsid w:val="00447CD7"/>
    <w:rsid w:val="004548D5"/>
    <w:rsid w:val="004717E8"/>
    <w:rsid w:val="00516C69"/>
    <w:rsid w:val="005274E4"/>
    <w:rsid w:val="00557867"/>
    <w:rsid w:val="0059634B"/>
    <w:rsid w:val="005B57A5"/>
    <w:rsid w:val="005B66F1"/>
    <w:rsid w:val="005D32EA"/>
    <w:rsid w:val="005E015A"/>
    <w:rsid w:val="005E1E84"/>
    <w:rsid w:val="005F4DFA"/>
    <w:rsid w:val="00650C1F"/>
    <w:rsid w:val="0067486A"/>
    <w:rsid w:val="006D26F7"/>
    <w:rsid w:val="006D7441"/>
    <w:rsid w:val="00741513"/>
    <w:rsid w:val="007549CD"/>
    <w:rsid w:val="007C69BE"/>
    <w:rsid w:val="00811215"/>
    <w:rsid w:val="0091578A"/>
    <w:rsid w:val="00952710"/>
    <w:rsid w:val="0095726E"/>
    <w:rsid w:val="009755B0"/>
    <w:rsid w:val="00987550"/>
    <w:rsid w:val="009C47DC"/>
    <w:rsid w:val="009D70AC"/>
    <w:rsid w:val="009E1479"/>
    <w:rsid w:val="009F03CF"/>
    <w:rsid w:val="009F71B8"/>
    <w:rsid w:val="00A56EBA"/>
    <w:rsid w:val="00A645FE"/>
    <w:rsid w:val="00A90A53"/>
    <w:rsid w:val="00AB54FF"/>
    <w:rsid w:val="00AC310B"/>
    <w:rsid w:val="00AC5B41"/>
    <w:rsid w:val="00AE01CB"/>
    <w:rsid w:val="00B06FB4"/>
    <w:rsid w:val="00B934AE"/>
    <w:rsid w:val="00BC5197"/>
    <w:rsid w:val="00C04AC0"/>
    <w:rsid w:val="00C05806"/>
    <w:rsid w:val="00C156C5"/>
    <w:rsid w:val="00C40EF4"/>
    <w:rsid w:val="00C62DCE"/>
    <w:rsid w:val="00C86FBA"/>
    <w:rsid w:val="00C9666F"/>
    <w:rsid w:val="00D11FD0"/>
    <w:rsid w:val="00D43B4F"/>
    <w:rsid w:val="00D80882"/>
    <w:rsid w:val="00D84FCD"/>
    <w:rsid w:val="00D905E7"/>
    <w:rsid w:val="00E0646D"/>
    <w:rsid w:val="00E3599D"/>
    <w:rsid w:val="00E36759"/>
    <w:rsid w:val="00E450F2"/>
    <w:rsid w:val="00E959AA"/>
    <w:rsid w:val="00ED2F68"/>
    <w:rsid w:val="00EF1569"/>
    <w:rsid w:val="00F34677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19D65"/>
  <w15:docId w15:val="{2251E3BF-A68F-4ADD-B9D8-55056D09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5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8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contextualSpacing/>
      <w:jc w:val="left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2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dressingdyslexia.org/resources/reading-cir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z610266</dc:creator>
  <cp:lastModifiedBy>Fran Foreman</cp:lastModifiedBy>
  <cp:revision>26</cp:revision>
  <dcterms:created xsi:type="dcterms:W3CDTF">2024-03-25T09:19:00Z</dcterms:created>
  <dcterms:modified xsi:type="dcterms:W3CDTF">2024-03-25T14:35:00Z</dcterms:modified>
</cp:coreProperties>
</file>